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中国</w:t>
      </w:r>
      <w:r>
        <w:rPr>
          <w:sz w:val="30"/>
          <w:szCs w:val="30"/>
        </w:rPr>
        <w:t>聚氨酯</w:t>
      </w:r>
      <w:r>
        <w:rPr>
          <w:rFonts w:hint="eastAsia"/>
          <w:sz w:val="30"/>
          <w:szCs w:val="30"/>
        </w:rPr>
        <w:t>（PU）</w:t>
      </w:r>
      <w:r>
        <w:rPr>
          <w:sz w:val="30"/>
          <w:szCs w:val="30"/>
        </w:rPr>
        <w:t>泡沫行业</w:t>
      </w:r>
      <w:r>
        <w:rPr>
          <w:rFonts w:hint="eastAsia"/>
          <w:sz w:val="30"/>
          <w:szCs w:val="30"/>
        </w:rPr>
        <w:t>禁止使用</w:t>
      </w:r>
      <w:r>
        <w:rPr>
          <w:sz w:val="30"/>
          <w:szCs w:val="30"/>
        </w:rPr>
        <w:t>HCFC-141b</w:t>
      </w:r>
      <w:r>
        <w:rPr>
          <w:rFonts w:hint="eastAsia"/>
          <w:sz w:val="30"/>
          <w:szCs w:val="30"/>
        </w:rPr>
        <w:t>作为发泡剂的可行性研究及政策影响评估项目</w:t>
      </w:r>
    </w:p>
    <w:p>
      <w:pPr>
        <w:pStyle w:val="1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工作大纲</w:t>
      </w:r>
    </w:p>
    <w:p>
      <w:pPr>
        <w:pStyle w:val="13"/>
        <w:spacing w:line="360" w:lineRule="auto"/>
        <w:rPr>
          <w:b w:val="0"/>
          <w:bCs/>
          <w:sz w:val="21"/>
          <w:szCs w:val="21"/>
          <w:u w:val="single"/>
        </w:rPr>
      </w:pPr>
    </w:p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背景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2016年12月，第77次多边基金执委会批准了PU泡沫行业第二阶段HCFC-141b淘汰行业计划。2019年12月，第84次执委会决定对我国第二阶段生产和消费行业HCFCs淘汰行业计划及资金分配进行调整，PU泡沫行业总体淘汰目标不变</w:t>
      </w:r>
      <w:r>
        <w:rPr>
          <w:rFonts w:hint="eastAsia"/>
          <w:sz w:val="24"/>
          <w:lang w:eastAsia="zh-CN"/>
        </w:rPr>
        <w:t>，</w:t>
      </w:r>
      <w:r>
        <w:rPr>
          <w:rFonts w:hint="default" w:ascii="宋体" w:hAnsi="宋体" w:eastAsia="宋体" w:cs="宋体"/>
          <w:sz w:val="24"/>
        </w:rPr>
        <w:t>规定在2026年前禁止所有PU泡沫</w:t>
      </w:r>
      <w:r>
        <w:rPr>
          <w:rFonts w:hint="eastAsia" w:ascii="宋体" w:hAnsi="宋体" w:cs="宋体"/>
          <w:sz w:val="24"/>
          <w:lang w:eastAsia="zh-CN"/>
        </w:rPr>
        <w:t>行业</w:t>
      </w:r>
      <w:r>
        <w:rPr>
          <w:rFonts w:hint="default" w:ascii="宋体" w:hAnsi="宋体" w:eastAsia="宋体" w:cs="宋体"/>
          <w:sz w:val="24"/>
        </w:rPr>
        <w:t>HCFC-141b</w:t>
      </w:r>
      <w:r>
        <w:rPr>
          <w:rFonts w:hint="eastAsia" w:ascii="宋体" w:hAnsi="宋体" w:cs="宋体"/>
          <w:sz w:val="24"/>
          <w:lang w:eastAsia="zh-CN"/>
        </w:rPr>
        <w:t>的</w:t>
      </w:r>
      <w:r>
        <w:rPr>
          <w:rFonts w:hint="default" w:ascii="宋体" w:hAnsi="宋体" w:eastAsia="宋体" w:cs="宋体"/>
          <w:sz w:val="24"/>
        </w:rPr>
        <w:t>消费。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我国将根据国家和行业水平HCFC</w:t>
      </w:r>
      <w:r>
        <w:rPr>
          <w:sz w:val="24"/>
        </w:rPr>
        <w:t>-141b</w:t>
      </w:r>
      <w:r>
        <w:rPr>
          <w:rFonts w:hint="eastAsia"/>
          <w:sz w:val="24"/>
        </w:rPr>
        <w:t>淘汰进展和行业计划安排，适时颁布在</w:t>
      </w:r>
      <w:r>
        <w:rPr>
          <w:rFonts w:hint="eastAsia"/>
          <w:sz w:val="24"/>
          <w:lang w:val="en-US" w:eastAsia="zh-CN"/>
        </w:rPr>
        <w:t>PU泡沫</w:t>
      </w:r>
      <w:r>
        <w:rPr>
          <w:rFonts w:hint="eastAsia"/>
          <w:sz w:val="24"/>
        </w:rPr>
        <w:t>行业停止使用HCFC-141b作为发泡剂的禁令，从而保证实现行业计划的阶段性淘汰目标及HCFC-141b的持续性淘汰。在禁令发布前，需要对禁令的颁布进行技术可行性研究，评估禁令颁布对</w:t>
      </w:r>
      <w:r>
        <w:rPr>
          <w:rFonts w:hint="eastAsia"/>
          <w:sz w:val="24"/>
          <w:lang w:val="en-US" w:eastAsia="zh-CN"/>
        </w:rPr>
        <w:t>PU泡沫</w:t>
      </w:r>
      <w:r>
        <w:rPr>
          <w:rFonts w:hint="eastAsia"/>
          <w:sz w:val="24"/>
        </w:rPr>
        <w:t>行业的环境、经济和社会影响。本项目需收集企业、行业协会等相关方意见，提出帮助行业实现HCFC-141b可持续淘汰的建议。</w:t>
      </w:r>
    </w:p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目标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本项目目标为：1）通过问卷调查及现场走访泡沫企业和组合聚醚企业，收集</w:t>
      </w:r>
      <w:r>
        <w:rPr>
          <w:rFonts w:hint="eastAsia"/>
          <w:sz w:val="24"/>
          <w:lang w:val="en-US" w:eastAsia="zh-CN"/>
        </w:rPr>
        <w:t>PU</w:t>
      </w:r>
      <w:r>
        <w:rPr>
          <w:rFonts w:hint="eastAsia"/>
          <w:sz w:val="24"/>
          <w:lang w:eastAsia="zh-CN"/>
        </w:rPr>
        <w:t>泡沫</w:t>
      </w:r>
      <w:r>
        <w:rPr>
          <w:rFonts w:hint="eastAsia"/>
          <w:sz w:val="24"/>
        </w:rPr>
        <w:t>行业HCFC-141b消费量及替代技术应用情况</w:t>
      </w:r>
      <w:r>
        <w:rPr>
          <w:rFonts w:hint="eastAsia"/>
          <w:sz w:val="24"/>
          <w:lang w:eastAsia="zh-CN"/>
        </w:rPr>
        <w:t>，需关注喷涂子行业技术现状</w:t>
      </w:r>
      <w:r>
        <w:rPr>
          <w:rFonts w:hint="eastAsia"/>
          <w:sz w:val="24"/>
        </w:rPr>
        <w:t>；2）分析评估禁令颁布对</w:t>
      </w:r>
      <w:r>
        <w:rPr>
          <w:rFonts w:hint="eastAsia"/>
          <w:sz w:val="24"/>
          <w:lang w:val="en-US" w:eastAsia="zh-CN"/>
        </w:rPr>
        <w:t>PU泡沫</w:t>
      </w:r>
      <w:r>
        <w:rPr>
          <w:rFonts w:hint="eastAsia"/>
          <w:sz w:val="24"/>
        </w:rPr>
        <w:t>行业的经济、社会及环境影响，并提出帮助该行业实现HCFC-141b可持续淘汰的建议；3）形成禁令初稿和禁令编制说明。</w:t>
      </w:r>
    </w:p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工作内容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收集</w:t>
      </w:r>
      <w:r>
        <w:rPr>
          <w:rFonts w:hint="eastAsia"/>
          <w:sz w:val="24"/>
          <w:lang w:val="en-US" w:eastAsia="zh-CN"/>
        </w:rPr>
        <w:t>PU泡沫</w:t>
      </w:r>
      <w:r>
        <w:rPr>
          <w:rFonts w:hint="eastAsia"/>
          <w:sz w:val="24"/>
        </w:rPr>
        <w:t>行业现状信息，包括近</w:t>
      </w:r>
      <w:r>
        <w:rPr>
          <w:rFonts w:hint="eastAsia"/>
          <w:sz w:val="24"/>
          <w:lang w:val="en-US" w:eastAsia="zh-CN"/>
        </w:rPr>
        <w:t>10年发展情况，</w:t>
      </w:r>
      <w:r>
        <w:rPr>
          <w:rFonts w:hint="eastAsia"/>
          <w:sz w:val="24"/>
        </w:rPr>
        <w:t>HCFC-141b消费量情况，替代技术使用情况，子行业企业数量、规模、及分布情况，主要集中省份及地区。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设计问卷调查的内容，应至少包括：企业关键信息，例如成立时间、</w:t>
      </w:r>
      <w:r>
        <w:rPr>
          <w:rFonts w:hint="eastAsia"/>
          <w:sz w:val="24"/>
          <w:lang w:eastAsia="zh-CN"/>
        </w:rPr>
        <w:t>子行业、</w:t>
      </w:r>
      <w:r>
        <w:rPr>
          <w:rFonts w:hint="eastAsia"/>
          <w:sz w:val="24"/>
        </w:rPr>
        <w:t>联系方式、中外资比例、过去3年HCFC-141b消费量、已采用或欲采用的替代技术、设备情况及技术转换过程中遇到的问题及困难。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向至少</w:t>
      </w:r>
      <w:r>
        <w:rPr>
          <w:rFonts w:hint="eastAsia"/>
          <w:sz w:val="24"/>
          <w:lang w:val="en-US" w:eastAsia="zh-CN"/>
        </w:rPr>
        <w:t>40</w:t>
      </w:r>
      <w:r>
        <w:rPr>
          <w:rFonts w:hint="eastAsia"/>
          <w:sz w:val="24"/>
        </w:rPr>
        <w:t>0家</w:t>
      </w:r>
      <w:r>
        <w:rPr>
          <w:rFonts w:hint="eastAsia"/>
          <w:sz w:val="24"/>
          <w:lang w:eastAsia="zh-CN"/>
        </w:rPr>
        <w:t>泡沫企业和组合聚醚企业</w:t>
      </w:r>
      <w:r>
        <w:rPr>
          <w:rFonts w:hint="eastAsia"/>
          <w:sz w:val="24"/>
        </w:rPr>
        <w:t>分发并收集调查问卷，应至少覆盖该行业80%的HCFC-141b消费量。同时，走访至少</w:t>
      </w:r>
      <w:r>
        <w:rPr>
          <w:rFonts w:hint="eastAsia"/>
          <w:sz w:val="24"/>
          <w:lang w:val="en-US" w:eastAsia="zh-CN"/>
        </w:rPr>
        <w:t>50</w:t>
      </w:r>
      <w:r>
        <w:rPr>
          <w:rFonts w:hint="eastAsia"/>
          <w:sz w:val="24"/>
        </w:rPr>
        <w:t>家</w:t>
      </w:r>
      <w:r>
        <w:rPr>
          <w:rFonts w:hint="eastAsia"/>
          <w:sz w:val="24"/>
          <w:lang w:eastAsia="zh-CN"/>
        </w:rPr>
        <w:t>泡沫</w:t>
      </w:r>
      <w:r>
        <w:rPr>
          <w:rFonts w:hint="eastAsia"/>
          <w:sz w:val="24"/>
        </w:rPr>
        <w:t>企业</w:t>
      </w:r>
      <w:r>
        <w:rPr>
          <w:rFonts w:hint="eastAsia"/>
          <w:sz w:val="24"/>
          <w:lang w:eastAsia="zh-CN"/>
        </w:rPr>
        <w:t>（确保涵盖主要省份及所有子行业并覆盖大规模企业及中小规模企业）</w:t>
      </w:r>
      <w:r>
        <w:rPr>
          <w:rFonts w:hint="eastAsia"/>
          <w:sz w:val="24"/>
        </w:rPr>
        <w:t>及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家组合聚醚企业。问卷调查的发放和实地调研应考虑地理位置、消费量规模分布情况及是否得到过多边基金赠款资助等因素。</w:t>
      </w:r>
    </w:p>
    <w:p>
      <w:pPr>
        <w:numPr>
          <w:ilvl w:val="-1"/>
          <w:numId w:val="0"/>
        </w:numPr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撰写禁令颁布的评估报告，报告应包括但不限于以下内容：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spacing w:before="156" w:beforeLines="50" w:line="420" w:lineRule="exact"/>
        <w:ind w:left="900" w:hanging="54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  <w:lang w:eastAsia="zh-CN"/>
        </w:rPr>
        <w:t>整体</w:t>
      </w:r>
      <w:r>
        <w:rPr>
          <w:rFonts w:hint="eastAsia"/>
          <w:b w:val="0"/>
          <w:bCs w:val="0"/>
          <w:sz w:val="24"/>
          <w:lang w:val="en-US" w:eastAsia="zh-CN"/>
        </w:rPr>
        <w:t>PU泡沫</w:t>
      </w:r>
      <w:r>
        <w:rPr>
          <w:rFonts w:hint="eastAsia"/>
          <w:b w:val="0"/>
          <w:bCs w:val="0"/>
          <w:sz w:val="24"/>
        </w:rPr>
        <w:t>行业现状分析，包括企业数量、生产能力、发展趋势及现有技术标准等；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spacing w:before="156" w:beforeLines="50" w:line="420" w:lineRule="exact"/>
        <w:ind w:left="900" w:hanging="54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分析问卷调查及现场走访收集到的信息，包括HCFC-141b或替代品消费量、设备情况、企业经济技术状况等；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spacing w:before="156" w:beforeLines="50" w:line="420" w:lineRule="exact"/>
        <w:ind w:left="900" w:hanging="54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分析适合</w:t>
      </w:r>
      <w:r>
        <w:rPr>
          <w:rFonts w:hint="eastAsia"/>
          <w:b w:val="0"/>
          <w:bCs w:val="0"/>
          <w:sz w:val="24"/>
          <w:lang w:val="en-US" w:eastAsia="zh-CN"/>
        </w:rPr>
        <w:t>PU泡沫</w:t>
      </w:r>
      <w:r>
        <w:rPr>
          <w:rFonts w:hint="eastAsia"/>
          <w:b w:val="0"/>
          <w:bCs w:val="0"/>
          <w:sz w:val="24"/>
        </w:rPr>
        <w:t>行业的替代技术，现有替代技术应用情况</w:t>
      </w:r>
      <w:r>
        <w:rPr>
          <w:rFonts w:hint="eastAsia"/>
          <w:b w:val="0"/>
          <w:bCs w:val="0"/>
          <w:sz w:val="24"/>
          <w:lang w:eastAsia="zh-CN"/>
        </w:rPr>
        <w:t>以及替代过程中的困难与挑战</w:t>
      </w:r>
      <w:r>
        <w:rPr>
          <w:rFonts w:hint="eastAsia"/>
          <w:b w:val="0"/>
          <w:bCs w:val="0"/>
          <w:sz w:val="24"/>
        </w:rPr>
        <w:t>；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spacing w:before="156" w:beforeLines="50" w:line="420" w:lineRule="exact"/>
        <w:ind w:left="900" w:hanging="54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评估禁令颁布对经济、社会及环境的影响；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spacing w:before="156" w:beforeLines="50" w:line="420" w:lineRule="exact"/>
        <w:ind w:left="900" w:hanging="54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提出帮助</w:t>
      </w:r>
      <w:r>
        <w:rPr>
          <w:rFonts w:hint="eastAsia"/>
          <w:b w:val="0"/>
          <w:bCs w:val="0"/>
          <w:sz w:val="24"/>
          <w:lang w:val="en-US" w:eastAsia="zh-CN"/>
        </w:rPr>
        <w:t>PU泡沫</w:t>
      </w:r>
      <w:r>
        <w:rPr>
          <w:rFonts w:hint="eastAsia"/>
          <w:b w:val="0"/>
          <w:bCs w:val="0"/>
          <w:sz w:val="24"/>
        </w:rPr>
        <w:t>行业实现HCFC-141b可持续淘汰的意见及建议</w:t>
      </w:r>
      <w:r>
        <w:rPr>
          <w:rFonts w:hint="eastAsia"/>
          <w:b w:val="0"/>
          <w:bCs w:val="0"/>
          <w:sz w:val="24"/>
          <w:lang w:eastAsia="zh-CN"/>
        </w:rPr>
        <w:t>；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spacing w:before="156" w:beforeLines="50" w:line="420" w:lineRule="exact"/>
        <w:ind w:left="900" w:hanging="54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  <w:lang w:eastAsia="zh-CN"/>
        </w:rPr>
        <w:t>对喷涂子行业是否可以同其他子行业一起在</w:t>
      </w:r>
      <w:r>
        <w:rPr>
          <w:rFonts w:hint="eastAsia"/>
          <w:b w:val="0"/>
          <w:bCs w:val="0"/>
          <w:sz w:val="24"/>
          <w:lang w:val="en-US" w:eastAsia="zh-CN"/>
        </w:rPr>
        <w:t>2025年实现HCFC-141b完全淘汰提出建议。</w:t>
      </w:r>
    </w:p>
    <w:p>
      <w:pPr>
        <w:numPr>
          <w:ilvl w:val="4"/>
          <w:numId w:val="3"/>
        </w:numPr>
        <w:tabs>
          <w:tab w:val="left" w:pos="900"/>
          <w:tab w:val="clear" w:pos="2040"/>
        </w:tabs>
        <w:ind w:left="900" w:hanging="540"/>
        <w:rPr>
          <w:b/>
          <w:sz w:val="24"/>
        </w:rPr>
      </w:pPr>
      <w:r>
        <w:rPr>
          <w:rFonts w:hint="eastAsia"/>
          <w:sz w:val="24"/>
        </w:rPr>
        <w:t>起草禁令初稿及编制说明。</w:t>
      </w:r>
    </w:p>
    <w:p>
      <w:pPr>
        <w:pStyle w:val="36"/>
        <w:numPr>
          <w:ilvl w:val="-1"/>
          <w:numId w:val="0"/>
        </w:numPr>
        <w:spacing w:before="156" w:beforeLines="50" w:line="420" w:lineRule="exact"/>
        <w:ind w:left="0" w:firstLine="480" w:firstLineChars="200"/>
        <w:rPr>
          <w:b/>
          <w:sz w:val="24"/>
        </w:rPr>
      </w:pPr>
      <w:r>
        <w:rPr>
          <w:rFonts w:hint="eastAsia"/>
          <w:sz w:val="24"/>
        </w:rPr>
        <w:t>至少组织两次与相关方的研讨会议。</w:t>
      </w:r>
    </w:p>
    <w:p>
      <w:pPr>
        <w:spacing w:before="156" w:beforeLines="50" w:line="420" w:lineRule="exact"/>
        <w:ind w:left="360"/>
        <w:rPr>
          <w:b/>
          <w:sz w:val="24"/>
        </w:rPr>
      </w:pP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901"/>
        <w:gridCol w:w="3479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4" w:type="pct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会议内容</w:t>
            </w:r>
          </w:p>
        </w:tc>
        <w:tc>
          <w:tcPr>
            <w:tcW w:w="2040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</w:t>
            </w:r>
          </w:p>
        </w:tc>
        <w:tc>
          <w:tcPr>
            <w:tcW w:w="985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pct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现场走访计划及问卷调查内容研讨会议</w:t>
            </w:r>
          </w:p>
        </w:tc>
        <w:tc>
          <w:tcPr>
            <w:tcW w:w="2040" w:type="pct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咨询顾问/对外合作中心/行业协会/行业专家/</w:t>
            </w:r>
            <w:r>
              <w:rPr>
                <w:rFonts w:hint="eastAsia"/>
                <w:sz w:val="24"/>
                <w:lang w:eastAsia="zh-CN"/>
              </w:rPr>
              <w:t>泡沫</w:t>
            </w:r>
            <w:r>
              <w:rPr>
                <w:rFonts w:hint="eastAsia"/>
                <w:sz w:val="24"/>
              </w:rPr>
              <w:t>企业及组合聚醚企业</w:t>
            </w:r>
          </w:p>
        </w:tc>
        <w:tc>
          <w:tcPr>
            <w:tcW w:w="985" w:type="pct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至少</w:t>
            </w:r>
            <w:r>
              <w:rPr>
                <w:rFonts w:hint="eastAsia"/>
                <w:sz w:val="24"/>
                <w:lang w:val="en-US" w:eastAsia="zh-CN"/>
              </w:rPr>
              <w:t>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1" w:type="pct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评估报告及禁令草稿研讨会议</w:t>
            </w:r>
          </w:p>
        </w:tc>
        <w:tc>
          <w:tcPr>
            <w:tcW w:w="2040" w:type="pct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咨询顾问/生态环境部/对外合作中心/行业协会/行业专家</w:t>
            </w:r>
            <w:r>
              <w:rPr>
                <w:rFonts w:hint="eastAsia"/>
                <w:sz w:val="24"/>
                <w:lang w:eastAsia="zh-CN"/>
              </w:rPr>
              <w:t>泡沫</w:t>
            </w:r>
            <w:r>
              <w:rPr>
                <w:rFonts w:hint="eastAsia"/>
                <w:sz w:val="24"/>
              </w:rPr>
              <w:t>企业及组合聚醚企业</w:t>
            </w:r>
          </w:p>
        </w:tc>
        <w:tc>
          <w:tcPr>
            <w:tcW w:w="985" w:type="pct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至少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人</w:t>
            </w:r>
          </w:p>
        </w:tc>
      </w:tr>
    </w:tbl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项目产出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项目产出包括：</w:t>
      </w:r>
    </w:p>
    <w:p>
      <w:pPr>
        <w:numPr>
          <w:ilvl w:val="0"/>
          <w:numId w:val="0"/>
        </w:numPr>
        <w:tabs>
          <w:tab w:val="left" w:pos="360"/>
        </w:tabs>
        <w:spacing w:before="156" w:beforeLines="50" w:line="420" w:lineRule="exact"/>
        <w:ind w:left="239" w:firstLine="0"/>
        <w:rPr>
          <w:rFonts w:hint="eastAsia"/>
          <w:sz w:val="24"/>
        </w:rPr>
      </w:pPr>
      <w:r>
        <w:rPr>
          <w:rFonts w:hint="eastAsia"/>
          <w:sz w:val="24"/>
        </w:rPr>
        <w:t>（1）调查问卷模板格式，问卷发放及收集计划及现场走访计划</w:t>
      </w:r>
      <w:r>
        <w:rPr>
          <w:rFonts w:hint="eastAsia"/>
          <w:sz w:val="24"/>
          <w:lang w:eastAsia="zh-CN"/>
        </w:rPr>
        <w:t>，收集到的问卷及现场调研报告</w:t>
      </w:r>
      <w:r>
        <w:rPr>
          <w:rFonts w:hint="eastAsia"/>
          <w:sz w:val="24"/>
        </w:rPr>
        <w:t>；</w:t>
      </w:r>
    </w:p>
    <w:p>
      <w:pPr>
        <w:numPr>
          <w:ilvl w:val="0"/>
          <w:numId w:val="0"/>
        </w:numPr>
        <w:tabs>
          <w:tab w:val="left" w:pos="360"/>
        </w:tabs>
        <w:spacing w:before="156" w:beforeLines="50" w:line="420" w:lineRule="exact"/>
        <w:ind w:left="239" w:firstLine="0"/>
        <w:rPr>
          <w:rFonts w:hint="eastAsia"/>
          <w:sz w:val="24"/>
        </w:rPr>
      </w:pPr>
      <w:r>
        <w:rPr>
          <w:rFonts w:hint="eastAsia"/>
          <w:sz w:val="24"/>
        </w:rPr>
        <w:t>（2）禁令颁布评估报告；</w:t>
      </w:r>
    </w:p>
    <w:p>
      <w:pPr>
        <w:numPr>
          <w:ilvl w:val="0"/>
          <w:numId w:val="0"/>
        </w:numPr>
        <w:tabs>
          <w:tab w:val="left" w:pos="360"/>
        </w:tabs>
        <w:spacing w:before="156" w:beforeLines="50" w:line="420" w:lineRule="exact"/>
        <w:ind w:left="239" w:firstLine="0"/>
        <w:rPr>
          <w:rFonts w:hint="eastAsia"/>
          <w:sz w:val="24"/>
        </w:rPr>
      </w:pPr>
      <w:r>
        <w:rPr>
          <w:rFonts w:hint="eastAsia"/>
          <w:sz w:val="24"/>
        </w:rPr>
        <w:t>（3）禁令草稿及编制说明；</w:t>
      </w:r>
    </w:p>
    <w:p>
      <w:pPr>
        <w:numPr>
          <w:ilvl w:val="0"/>
          <w:numId w:val="0"/>
        </w:numPr>
        <w:tabs>
          <w:tab w:val="left" w:pos="360"/>
        </w:tabs>
        <w:spacing w:before="156" w:beforeLines="50" w:line="420" w:lineRule="exact"/>
        <w:ind w:left="239" w:firstLine="0"/>
        <w:rPr>
          <w:sz w:val="24"/>
        </w:rPr>
      </w:pPr>
      <w:r>
        <w:rPr>
          <w:rFonts w:hint="eastAsia"/>
          <w:sz w:val="24"/>
        </w:rPr>
        <w:t>（4）两次会议纪要。</w:t>
      </w:r>
    </w:p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咨询</w:t>
      </w:r>
      <w:r>
        <w:rPr>
          <w:rFonts w:hint="eastAsia"/>
          <w:b/>
          <w:sz w:val="24"/>
          <w:lang w:eastAsia="zh-CN"/>
        </w:rPr>
        <w:t>服务单位</w:t>
      </w:r>
      <w:r>
        <w:rPr>
          <w:rFonts w:hint="eastAsia"/>
          <w:b/>
          <w:sz w:val="24"/>
        </w:rPr>
        <w:t>资质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采用世界银行基于咨询</w:t>
      </w:r>
      <w:r>
        <w:rPr>
          <w:rFonts w:hint="eastAsia"/>
          <w:sz w:val="24"/>
          <w:lang w:eastAsia="zh-CN"/>
        </w:rPr>
        <w:t>服务单位</w:t>
      </w:r>
      <w:r>
        <w:rPr>
          <w:rFonts w:hint="eastAsia"/>
          <w:sz w:val="24"/>
        </w:rPr>
        <w:t>资历的选择（CQS）采购方式。被选择的咨询</w:t>
      </w:r>
      <w:r>
        <w:rPr>
          <w:rFonts w:hint="eastAsia"/>
          <w:sz w:val="24"/>
          <w:lang w:eastAsia="zh-CN"/>
        </w:rPr>
        <w:t>服务单位</w:t>
      </w:r>
      <w:r>
        <w:rPr>
          <w:rFonts w:hint="eastAsia"/>
          <w:sz w:val="24"/>
        </w:rPr>
        <w:t>将提交咨询服务建议书（包括技术建议书及财务建议书），审核确认后签订合同。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咨询</w:t>
      </w:r>
      <w:r>
        <w:rPr>
          <w:rFonts w:hint="eastAsia"/>
          <w:sz w:val="24"/>
          <w:lang w:eastAsia="zh-CN"/>
        </w:rPr>
        <w:t>服务单位</w:t>
      </w:r>
      <w:r>
        <w:rPr>
          <w:rFonts w:hint="eastAsia"/>
          <w:sz w:val="24"/>
        </w:rPr>
        <w:t>需符合以下资质：</w:t>
      </w:r>
    </w:p>
    <w:p>
      <w:pPr>
        <w:numPr>
          <w:ilvl w:val="1"/>
          <w:numId w:val="4"/>
        </w:numPr>
        <w:spacing w:before="156" w:beforeLines="50" w:line="42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熟悉PU泡沫行业；</w:t>
      </w:r>
    </w:p>
    <w:p>
      <w:pPr>
        <w:numPr>
          <w:ilvl w:val="1"/>
          <w:numId w:val="4"/>
        </w:numPr>
        <w:spacing w:before="156" w:beforeLines="50" w:line="42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熟悉《蒙特利尔议定书》多边基金项目以及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PU泡沫行业HCFC-141b淘汰行业计划；</w:t>
      </w:r>
    </w:p>
    <w:p>
      <w:pPr>
        <w:numPr>
          <w:ilvl w:val="1"/>
          <w:numId w:val="4"/>
        </w:numPr>
        <w:spacing w:before="156" w:beforeLines="50" w:line="42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过去5年有实施国家级别或行业级别调研的经验；</w:t>
      </w:r>
    </w:p>
    <w:p>
      <w:pPr>
        <w:numPr>
          <w:ilvl w:val="1"/>
          <w:numId w:val="4"/>
        </w:numPr>
        <w:spacing w:before="156" w:beforeLines="50" w:line="42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熟悉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PU泡沫</w:t>
      </w:r>
      <w:r>
        <w:rPr>
          <w:rFonts w:hint="eastAsia" w:asciiTheme="minorEastAsia" w:hAnsiTheme="minorEastAsia" w:eastAsiaTheme="minorEastAsia" w:cstheme="minorEastAsia"/>
          <w:sz w:val="24"/>
        </w:rPr>
        <w:t>行业HCFC-141b替代技术，并能够基于收集的信息提出评估建议；</w:t>
      </w:r>
    </w:p>
    <w:p>
      <w:pPr>
        <w:numPr>
          <w:ilvl w:val="1"/>
          <w:numId w:val="4"/>
        </w:numPr>
        <w:spacing w:before="156" w:beforeLines="50" w:line="42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有能力组织行业会议并邀请相关方参加会议并研讨。</w:t>
      </w:r>
    </w:p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项目进度计划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本项目将签订总价合同，合同有效期预计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个月。工作量预计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20人.日。团队至少需要三个成员进行项目工作，包括一名组长及两名组员。关键专家的资质要求如下：</w:t>
      </w:r>
    </w:p>
    <w:tbl>
      <w:tblPr>
        <w:tblStyle w:val="15"/>
        <w:tblW w:w="84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5414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职位</w:t>
            </w:r>
          </w:p>
        </w:tc>
        <w:tc>
          <w:tcPr>
            <w:tcW w:w="5414" w:type="dxa"/>
            <w:vAlign w:val="center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资质要求</w:t>
            </w:r>
          </w:p>
        </w:tc>
        <w:tc>
          <w:tcPr>
            <w:tcW w:w="1609" w:type="dxa"/>
            <w:vAlign w:val="center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预计工时</w:t>
            </w:r>
            <w:r>
              <w:rPr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人.日</w:t>
            </w:r>
            <w:r>
              <w:rPr>
                <w:b/>
                <w:bCs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5414" w:type="dxa"/>
          </w:tcPr>
          <w:p>
            <w:pPr>
              <w:widowControl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较强的组织协调能力；</w:t>
            </w:r>
          </w:p>
          <w:p>
            <w:pPr>
              <w:widowControl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有能力进行工作分配并确保团队任务完成并日常向</w:t>
            </w:r>
            <w:r>
              <w:rPr>
                <w:rFonts w:hint="eastAsia"/>
                <w:kern w:val="0"/>
                <w:sz w:val="24"/>
                <w:lang w:eastAsia="zh-CN"/>
              </w:rPr>
              <w:t>对外合作与交流中心</w:t>
            </w:r>
            <w:r>
              <w:rPr>
                <w:rFonts w:hint="eastAsia"/>
                <w:kern w:val="0"/>
                <w:sz w:val="24"/>
              </w:rPr>
              <w:t>汇报；</w:t>
            </w:r>
          </w:p>
          <w:p>
            <w:pPr>
              <w:widowControl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熟悉</w:t>
            </w:r>
            <w:r>
              <w:rPr>
                <w:rFonts w:hint="eastAsia"/>
                <w:kern w:val="0"/>
                <w:sz w:val="24"/>
                <w:lang w:eastAsia="zh-CN"/>
              </w:rPr>
              <w:t>近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5年</w:t>
            </w:r>
            <w:r>
              <w:rPr>
                <w:rFonts w:hint="eastAsia"/>
                <w:kern w:val="0"/>
                <w:sz w:val="24"/>
              </w:rPr>
              <w:t>国家相关ODS淘汰政策法规及国际公约；</w:t>
            </w:r>
          </w:p>
          <w:p>
            <w:pPr>
              <w:widowControl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熟悉政策法规颁布流程；</w:t>
            </w:r>
          </w:p>
          <w:p>
            <w:pPr>
              <w:widowControl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具有</w:t>
            </w:r>
            <w:r>
              <w:rPr>
                <w:rFonts w:hint="eastAsia"/>
                <w:kern w:val="0"/>
                <w:sz w:val="24"/>
                <w:lang w:eastAsia="zh-CN"/>
              </w:rPr>
              <w:t>至少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3年</w:t>
            </w:r>
            <w:r>
              <w:rPr>
                <w:rFonts w:hint="eastAsia"/>
                <w:kern w:val="0"/>
                <w:sz w:val="24"/>
              </w:rPr>
              <w:t>政策法规前期准备经验；</w:t>
            </w:r>
          </w:p>
          <w:p>
            <w:pPr>
              <w:widowControl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具有PU泡沫</w:t>
            </w:r>
            <w:r>
              <w:rPr>
                <w:rFonts w:hint="eastAsia"/>
                <w:sz w:val="24"/>
              </w:rPr>
              <w:t>行业</w:t>
            </w:r>
            <w:r>
              <w:rPr>
                <w:rFonts w:hint="eastAsia"/>
                <w:sz w:val="24"/>
                <w:lang w:eastAsia="zh-CN"/>
              </w:rPr>
              <w:t>丰富的</w:t>
            </w:r>
            <w:r>
              <w:rPr>
                <w:rFonts w:hint="eastAsia"/>
                <w:sz w:val="24"/>
              </w:rPr>
              <w:t>经验知识。</w:t>
            </w:r>
          </w:p>
        </w:tc>
        <w:tc>
          <w:tcPr>
            <w:tcW w:w="1609" w:type="dxa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5414" w:type="dxa"/>
          </w:tcPr>
          <w:p>
            <w:pPr>
              <w:widowControl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具有团队合作能力；</w:t>
            </w:r>
          </w:p>
          <w:p>
            <w:pPr>
              <w:widowControl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具有与行政部门、行业协会或国际组织合作经验的人员优先；</w:t>
            </w:r>
          </w:p>
          <w:p>
            <w:pPr>
              <w:widowControl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至少2年管理专业、法律专业或环境专业经验。具有PU泡沫行业工作经验的人员优先。</w:t>
            </w:r>
          </w:p>
          <w:p>
            <w:pPr>
              <w:widowControl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能够在国内经常性出差。</w:t>
            </w:r>
          </w:p>
          <w:p>
            <w:pPr>
              <w:widowControl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120" w:line="3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团队至少有一位成员熟悉政策法规前期准备流程及禁令颁布流程。</w:t>
            </w:r>
          </w:p>
        </w:tc>
        <w:tc>
          <w:tcPr>
            <w:tcW w:w="1609" w:type="dxa"/>
          </w:tcPr>
          <w:p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 w:line="32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0</w:t>
            </w:r>
          </w:p>
        </w:tc>
      </w:tr>
    </w:tbl>
    <w:p>
      <w:pPr>
        <w:spacing w:before="156" w:beforeLines="50" w:line="420" w:lineRule="exact"/>
        <w:rPr>
          <w:sz w:val="24"/>
        </w:rPr>
      </w:pPr>
      <w:bookmarkStart w:id="0" w:name="_GoBack"/>
      <w:bookmarkEnd w:id="0"/>
    </w:p>
    <w:p>
      <w:pPr>
        <w:numPr>
          <w:ilvl w:val="0"/>
          <w:numId w:val="2"/>
        </w:numPr>
        <w:spacing w:before="156" w:beforeLines="50" w:line="420" w:lineRule="exact"/>
        <w:rPr>
          <w:b/>
          <w:sz w:val="24"/>
        </w:rPr>
      </w:pPr>
      <w:r>
        <w:rPr>
          <w:rFonts w:hint="eastAsia"/>
          <w:b/>
          <w:sz w:val="24"/>
        </w:rPr>
        <w:t>支付进度</w:t>
      </w:r>
    </w:p>
    <w:p>
      <w:pPr>
        <w:numPr>
          <w:ilvl w:val="-1"/>
          <w:numId w:val="0"/>
        </w:numPr>
        <w:tabs>
          <w:tab w:val="left" w:pos="360"/>
        </w:tabs>
        <w:spacing w:before="156" w:beforeLines="50" w:line="42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总价合同将分四笔进行支付。具体支付条件及比例如下表。</w:t>
      </w:r>
    </w:p>
    <w:tbl>
      <w:tblPr>
        <w:tblStyle w:val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2744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笔数</w:t>
            </w:r>
          </w:p>
        </w:tc>
        <w:tc>
          <w:tcPr>
            <w:tcW w:w="2835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支付条件</w:t>
            </w:r>
          </w:p>
        </w:tc>
        <w:tc>
          <w:tcPr>
            <w:tcW w:w="2744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支付比例</w:t>
            </w:r>
          </w:p>
        </w:tc>
        <w:tc>
          <w:tcPr>
            <w:tcW w:w="22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预计支付时间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合同签署</w:t>
            </w:r>
          </w:p>
        </w:tc>
        <w:tc>
          <w:tcPr>
            <w:tcW w:w="2744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10%</w:t>
            </w:r>
          </w:p>
        </w:tc>
        <w:tc>
          <w:tcPr>
            <w:tcW w:w="22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合同签署后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5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提交现场走访计划及调查问卷模板格式并被对外合作与交流中心（FECO）接受，组织第一次研讨会议</w:t>
            </w:r>
          </w:p>
        </w:tc>
        <w:tc>
          <w:tcPr>
            <w:tcW w:w="2744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0%</w:t>
            </w:r>
          </w:p>
        </w:tc>
        <w:tc>
          <w:tcPr>
            <w:tcW w:w="22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合同签署后2个月内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35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提交评估报告草稿并被FECO接受</w:t>
            </w:r>
          </w:p>
        </w:tc>
        <w:tc>
          <w:tcPr>
            <w:tcW w:w="2744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0%</w:t>
            </w:r>
          </w:p>
        </w:tc>
        <w:tc>
          <w:tcPr>
            <w:tcW w:w="22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签署后6个月内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35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提交评估报告终稿、禁令草稿及编制说明并被FECO接受，组织第二次研讨会议</w:t>
            </w:r>
          </w:p>
        </w:tc>
        <w:tc>
          <w:tcPr>
            <w:tcW w:w="2744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  <w:tc>
          <w:tcPr>
            <w:tcW w:w="2217" w:type="dxa"/>
          </w:tcPr>
          <w:p>
            <w:pPr>
              <w:spacing w:before="156" w:beforeLines="50"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签署后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个月内</w:t>
            </w:r>
          </w:p>
        </w:tc>
      </w:tr>
    </w:tbl>
    <w:p>
      <w:pPr>
        <w:spacing w:before="156" w:beforeLines="50"/>
        <w:rPr>
          <w:szCs w:val="21"/>
        </w:rPr>
      </w:pPr>
      <w:r>
        <w:rPr>
          <w:rFonts w:hint="eastAsia"/>
          <w:szCs w:val="21"/>
        </w:rPr>
        <w:t>注：如果合同与本工作大纲支付进度有任何不一致，以合同为准。</w:t>
      </w:r>
    </w:p>
    <w:sectPr>
      <w:footerReference r:id="rId3" w:type="default"/>
      <w:pgSz w:w="11906" w:h="16838"/>
      <w:pgMar w:top="1344" w:right="1797" w:bottom="935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05512098"/>
                          </w:sdtPr>
                          <w:sdtContent>
                            <w:p>
                              <w:pPr>
                                <w:pStyle w:val="10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05512098"/>
                    </w:sdtPr>
                    <w:sdtContent>
                      <w:p>
                        <w:pPr>
                          <w:pStyle w:val="10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5B650"/>
    <w:multiLevelType w:val="multilevel"/>
    <w:tmpl w:val="A365B65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0"/>
      </w:rPr>
    </w:lvl>
    <w:lvl w:ilvl="1" w:tentative="0">
      <w:start w:val="1"/>
      <w:numFmt w:val="decimal"/>
      <w:lvlText w:val="%2)"/>
      <w:lvlJc w:val="left"/>
      <w:pPr>
        <w:ind w:left="8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lowerLetter"/>
      <w:lvlText w:val="%4)"/>
      <w:lvlJc w:val="left"/>
      <w:pPr>
        <w:ind w:left="1620" w:hanging="360"/>
      </w:pPr>
      <w:rPr>
        <w:rFonts w:hint="default" w:eastAsia="仿宋_GB2312" w:cs="Times New Roman"/>
      </w:rPr>
    </w:lvl>
    <w:lvl w:ilvl="4" w:tentative="0">
      <w:start w:val="1"/>
      <w:numFmt w:val="decimal"/>
      <w:lvlText w:val="%5）"/>
      <w:lvlJc w:val="left"/>
      <w:pPr>
        <w:tabs>
          <w:tab w:val="left" w:pos="2040"/>
        </w:tabs>
        <w:ind w:left="2040" w:hanging="360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245441C"/>
    <w:multiLevelType w:val="multilevel"/>
    <w:tmpl w:val="0245441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81062E"/>
    <w:multiLevelType w:val="multilevel"/>
    <w:tmpl w:val="258106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0"/>
      </w:rPr>
    </w:lvl>
    <w:lvl w:ilvl="1" w:tentative="0">
      <w:start w:val="1"/>
      <w:numFmt w:val="decimal"/>
      <w:lvlText w:val="%2)"/>
      <w:lvlJc w:val="left"/>
      <w:pPr>
        <w:ind w:left="8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lowerLetter"/>
      <w:lvlText w:val="%4)"/>
      <w:lvlJc w:val="left"/>
      <w:pPr>
        <w:ind w:left="1620" w:hanging="360"/>
      </w:pPr>
      <w:rPr>
        <w:rFonts w:hint="default" w:eastAsia="仿宋_GB2312" w:cs="Times New Roman"/>
      </w:rPr>
    </w:lvl>
    <w:lvl w:ilvl="4" w:tentative="0">
      <w:start w:val="1"/>
      <w:numFmt w:val="decimal"/>
      <w:lvlText w:val="%5）"/>
      <w:lvlJc w:val="left"/>
      <w:pPr>
        <w:tabs>
          <w:tab w:val="left" w:pos="2040"/>
        </w:tabs>
        <w:ind w:left="2040" w:hanging="360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BE13D0E"/>
    <w:multiLevelType w:val="multilevel"/>
    <w:tmpl w:val="4BE13D0E"/>
    <w:lvl w:ilvl="0" w:tentative="0">
      <w:start w:val="1"/>
      <w:numFmt w:val="upperLetter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 w:cs="Times New Roman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4EEF6E77"/>
    <w:multiLevelType w:val="multilevel"/>
    <w:tmpl w:val="4EEF6E77"/>
    <w:lvl w:ilvl="0" w:tentative="0">
      <w:start w:val="1"/>
      <w:numFmt w:val="chineseCountingThousand"/>
      <w:lvlText w:val="%1、"/>
      <w:lvlJc w:val="left"/>
      <w:pPr>
        <w:ind w:left="480" w:hanging="48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EC75D01"/>
    <w:multiLevelType w:val="multilevel"/>
    <w:tmpl w:val="7EC75D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jgyZWMxOTVjNzdkM2ExODE2MTBiNDc0ZjQxZmIifQ=="/>
  </w:docVars>
  <w:rsids>
    <w:rsidRoot w:val="005517C2"/>
    <w:rsid w:val="00000D06"/>
    <w:rsid w:val="00003157"/>
    <w:rsid w:val="00004ABD"/>
    <w:rsid w:val="00005DB4"/>
    <w:rsid w:val="000119C9"/>
    <w:rsid w:val="000134EE"/>
    <w:rsid w:val="0001476A"/>
    <w:rsid w:val="0001650D"/>
    <w:rsid w:val="00020320"/>
    <w:rsid w:val="000257E9"/>
    <w:rsid w:val="0002613A"/>
    <w:rsid w:val="0003126E"/>
    <w:rsid w:val="00031DCE"/>
    <w:rsid w:val="0003393E"/>
    <w:rsid w:val="00034AC1"/>
    <w:rsid w:val="00034E7F"/>
    <w:rsid w:val="00036BCE"/>
    <w:rsid w:val="00046886"/>
    <w:rsid w:val="00054451"/>
    <w:rsid w:val="00064C15"/>
    <w:rsid w:val="00064E3B"/>
    <w:rsid w:val="00066B6D"/>
    <w:rsid w:val="00066FCE"/>
    <w:rsid w:val="000709CE"/>
    <w:rsid w:val="000A092E"/>
    <w:rsid w:val="000A193C"/>
    <w:rsid w:val="000A1DB9"/>
    <w:rsid w:val="000A31BC"/>
    <w:rsid w:val="000A3C6C"/>
    <w:rsid w:val="000A3CB5"/>
    <w:rsid w:val="000B4614"/>
    <w:rsid w:val="000B565F"/>
    <w:rsid w:val="000B72FF"/>
    <w:rsid w:val="000B7C8C"/>
    <w:rsid w:val="000C0292"/>
    <w:rsid w:val="000C1199"/>
    <w:rsid w:val="000C17FC"/>
    <w:rsid w:val="000C2B92"/>
    <w:rsid w:val="000C6B65"/>
    <w:rsid w:val="000D1D06"/>
    <w:rsid w:val="000F37C3"/>
    <w:rsid w:val="0010093F"/>
    <w:rsid w:val="001121EA"/>
    <w:rsid w:val="001230E6"/>
    <w:rsid w:val="00124ACF"/>
    <w:rsid w:val="00125165"/>
    <w:rsid w:val="001257A5"/>
    <w:rsid w:val="00125E75"/>
    <w:rsid w:val="00127E8E"/>
    <w:rsid w:val="00130C52"/>
    <w:rsid w:val="001462E8"/>
    <w:rsid w:val="00146B0A"/>
    <w:rsid w:val="00147507"/>
    <w:rsid w:val="00150B37"/>
    <w:rsid w:val="001534E0"/>
    <w:rsid w:val="00157CDD"/>
    <w:rsid w:val="001609C8"/>
    <w:rsid w:val="0016375A"/>
    <w:rsid w:val="00165199"/>
    <w:rsid w:val="001656B4"/>
    <w:rsid w:val="001670EC"/>
    <w:rsid w:val="00167889"/>
    <w:rsid w:val="00170428"/>
    <w:rsid w:val="00171C58"/>
    <w:rsid w:val="00177E21"/>
    <w:rsid w:val="0018176A"/>
    <w:rsid w:val="00182B2E"/>
    <w:rsid w:val="00184598"/>
    <w:rsid w:val="001845D1"/>
    <w:rsid w:val="00187435"/>
    <w:rsid w:val="00191126"/>
    <w:rsid w:val="00191F81"/>
    <w:rsid w:val="00192EF1"/>
    <w:rsid w:val="00193108"/>
    <w:rsid w:val="00196BB1"/>
    <w:rsid w:val="001A590C"/>
    <w:rsid w:val="001C04C3"/>
    <w:rsid w:val="001C1CDE"/>
    <w:rsid w:val="001D4D7E"/>
    <w:rsid w:val="001D609B"/>
    <w:rsid w:val="001E142A"/>
    <w:rsid w:val="001E2B06"/>
    <w:rsid w:val="001E2B1A"/>
    <w:rsid w:val="001E37D6"/>
    <w:rsid w:val="001E6E66"/>
    <w:rsid w:val="001F095C"/>
    <w:rsid w:val="001F102E"/>
    <w:rsid w:val="001F1569"/>
    <w:rsid w:val="001F2C25"/>
    <w:rsid w:val="001F4FE1"/>
    <w:rsid w:val="002021D8"/>
    <w:rsid w:val="002052C3"/>
    <w:rsid w:val="00206610"/>
    <w:rsid w:val="002101CF"/>
    <w:rsid w:val="00210902"/>
    <w:rsid w:val="0021415B"/>
    <w:rsid w:val="00215397"/>
    <w:rsid w:val="00217800"/>
    <w:rsid w:val="0022173B"/>
    <w:rsid w:val="002221C5"/>
    <w:rsid w:val="00224AE1"/>
    <w:rsid w:val="00226F75"/>
    <w:rsid w:val="00227D3A"/>
    <w:rsid w:val="00232704"/>
    <w:rsid w:val="002347FC"/>
    <w:rsid w:val="00240BB0"/>
    <w:rsid w:val="002446C6"/>
    <w:rsid w:val="00245544"/>
    <w:rsid w:val="00253CED"/>
    <w:rsid w:val="00253FD0"/>
    <w:rsid w:val="00254979"/>
    <w:rsid w:val="00254BA1"/>
    <w:rsid w:val="002637EA"/>
    <w:rsid w:val="00263C3C"/>
    <w:rsid w:val="00266023"/>
    <w:rsid w:val="00270CF6"/>
    <w:rsid w:val="0027687F"/>
    <w:rsid w:val="0027734E"/>
    <w:rsid w:val="0028679B"/>
    <w:rsid w:val="002956C0"/>
    <w:rsid w:val="00296FDF"/>
    <w:rsid w:val="0029703A"/>
    <w:rsid w:val="002A1EA0"/>
    <w:rsid w:val="002B32F6"/>
    <w:rsid w:val="002B3380"/>
    <w:rsid w:val="002B4F54"/>
    <w:rsid w:val="002C135B"/>
    <w:rsid w:val="002C2AB4"/>
    <w:rsid w:val="002C5F1E"/>
    <w:rsid w:val="002C64F2"/>
    <w:rsid w:val="002C6A5D"/>
    <w:rsid w:val="002D0536"/>
    <w:rsid w:val="002D1DAE"/>
    <w:rsid w:val="002D2044"/>
    <w:rsid w:val="002D34DD"/>
    <w:rsid w:val="002D6980"/>
    <w:rsid w:val="002E00A7"/>
    <w:rsid w:val="002E0F07"/>
    <w:rsid w:val="002E7409"/>
    <w:rsid w:val="002F2D5A"/>
    <w:rsid w:val="002F5459"/>
    <w:rsid w:val="002F5DC1"/>
    <w:rsid w:val="00311ADA"/>
    <w:rsid w:val="00314DE6"/>
    <w:rsid w:val="00317E41"/>
    <w:rsid w:val="00320B71"/>
    <w:rsid w:val="00321748"/>
    <w:rsid w:val="00321ADF"/>
    <w:rsid w:val="00324085"/>
    <w:rsid w:val="00324821"/>
    <w:rsid w:val="003271E6"/>
    <w:rsid w:val="00330A07"/>
    <w:rsid w:val="00331978"/>
    <w:rsid w:val="00332D23"/>
    <w:rsid w:val="003366B8"/>
    <w:rsid w:val="003454D1"/>
    <w:rsid w:val="00346A4A"/>
    <w:rsid w:val="00347E06"/>
    <w:rsid w:val="00352F2D"/>
    <w:rsid w:val="003566C4"/>
    <w:rsid w:val="00361347"/>
    <w:rsid w:val="00367858"/>
    <w:rsid w:val="00371DC4"/>
    <w:rsid w:val="003735FF"/>
    <w:rsid w:val="0037458D"/>
    <w:rsid w:val="00377A9F"/>
    <w:rsid w:val="003822F5"/>
    <w:rsid w:val="00382A83"/>
    <w:rsid w:val="00383AF4"/>
    <w:rsid w:val="00391921"/>
    <w:rsid w:val="003A222F"/>
    <w:rsid w:val="003A3CFF"/>
    <w:rsid w:val="003B0128"/>
    <w:rsid w:val="003B25C3"/>
    <w:rsid w:val="003B3ADE"/>
    <w:rsid w:val="003B7106"/>
    <w:rsid w:val="003C0C69"/>
    <w:rsid w:val="003D4BE1"/>
    <w:rsid w:val="003D5603"/>
    <w:rsid w:val="003E0297"/>
    <w:rsid w:val="003E2E65"/>
    <w:rsid w:val="003E3FDF"/>
    <w:rsid w:val="003E556E"/>
    <w:rsid w:val="003E5FD1"/>
    <w:rsid w:val="003F1199"/>
    <w:rsid w:val="003F26FC"/>
    <w:rsid w:val="003F3C4B"/>
    <w:rsid w:val="003F58F4"/>
    <w:rsid w:val="003F6247"/>
    <w:rsid w:val="00402C40"/>
    <w:rsid w:val="00406C71"/>
    <w:rsid w:val="004079D6"/>
    <w:rsid w:val="00414E70"/>
    <w:rsid w:val="00430799"/>
    <w:rsid w:val="00433EDA"/>
    <w:rsid w:val="00436E83"/>
    <w:rsid w:val="004415E2"/>
    <w:rsid w:val="004437B2"/>
    <w:rsid w:val="00452745"/>
    <w:rsid w:val="00460D71"/>
    <w:rsid w:val="00462023"/>
    <w:rsid w:val="004659D6"/>
    <w:rsid w:val="00467A8C"/>
    <w:rsid w:val="00470DB3"/>
    <w:rsid w:val="00474365"/>
    <w:rsid w:val="004752D7"/>
    <w:rsid w:val="00475679"/>
    <w:rsid w:val="00475D60"/>
    <w:rsid w:val="0048120E"/>
    <w:rsid w:val="00484EF2"/>
    <w:rsid w:val="00486768"/>
    <w:rsid w:val="004903BF"/>
    <w:rsid w:val="00490875"/>
    <w:rsid w:val="0049617C"/>
    <w:rsid w:val="004A28A2"/>
    <w:rsid w:val="004A2D98"/>
    <w:rsid w:val="004A470C"/>
    <w:rsid w:val="004B0F20"/>
    <w:rsid w:val="004B4553"/>
    <w:rsid w:val="004B4DF9"/>
    <w:rsid w:val="004C3DBC"/>
    <w:rsid w:val="004C5E17"/>
    <w:rsid w:val="004D3933"/>
    <w:rsid w:val="004D5323"/>
    <w:rsid w:val="004E20A0"/>
    <w:rsid w:val="004E55DF"/>
    <w:rsid w:val="004E76BE"/>
    <w:rsid w:val="004E7D58"/>
    <w:rsid w:val="004F03B7"/>
    <w:rsid w:val="004F1903"/>
    <w:rsid w:val="004F6197"/>
    <w:rsid w:val="005008AA"/>
    <w:rsid w:val="005008DA"/>
    <w:rsid w:val="00501FD2"/>
    <w:rsid w:val="00502052"/>
    <w:rsid w:val="0050690D"/>
    <w:rsid w:val="0052518C"/>
    <w:rsid w:val="005309F4"/>
    <w:rsid w:val="00534E5F"/>
    <w:rsid w:val="0054505F"/>
    <w:rsid w:val="00545063"/>
    <w:rsid w:val="005456E8"/>
    <w:rsid w:val="005517C2"/>
    <w:rsid w:val="005523F5"/>
    <w:rsid w:val="00552719"/>
    <w:rsid w:val="0056228C"/>
    <w:rsid w:val="00562E18"/>
    <w:rsid w:val="005632B8"/>
    <w:rsid w:val="00565B88"/>
    <w:rsid w:val="0057385F"/>
    <w:rsid w:val="005742DC"/>
    <w:rsid w:val="00574F7C"/>
    <w:rsid w:val="00576AA8"/>
    <w:rsid w:val="00581D15"/>
    <w:rsid w:val="0058529C"/>
    <w:rsid w:val="00585D59"/>
    <w:rsid w:val="00592303"/>
    <w:rsid w:val="005926AC"/>
    <w:rsid w:val="00597F97"/>
    <w:rsid w:val="005A0A27"/>
    <w:rsid w:val="005A18EF"/>
    <w:rsid w:val="005A1B4B"/>
    <w:rsid w:val="005A1FF3"/>
    <w:rsid w:val="005A7F4A"/>
    <w:rsid w:val="005B0695"/>
    <w:rsid w:val="005B0C82"/>
    <w:rsid w:val="005B0D70"/>
    <w:rsid w:val="005B1381"/>
    <w:rsid w:val="005B1B52"/>
    <w:rsid w:val="005B5229"/>
    <w:rsid w:val="005B61A4"/>
    <w:rsid w:val="005B7770"/>
    <w:rsid w:val="005C20F1"/>
    <w:rsid w:val="005C45FC"/>
    <w:rsid w:val="005C6892"/>
    <w:rsid w:val="005D2F34"/>
    <w:rsid w:val="005D5C9A"/>
    <w:rsid w:val="005E508E"/>
    <w:rsid w:val="005F0AE0"/>
    <w:rsid w:val="005F0B79"/>
    <w:rsid w:val="005F2E0F"/>
    <w:rsid w:val="005F409E"/>
    <w:rsid w:val="006058F4"/>
    <w:rsid w:val="00606E85"/>
    <w:rsid w:val="006078A2"/>
    <w:rsid w:val="00612295"/>
    <w:rsid w:val="00614969"/>
    <w:rsid w:val="00615736"/>
    <w:rsid w:val="006206A6"/>
    <w:rsid w:val="00636DEF"/>
    <w:rsid w:val="00647518"/>
    <w:rsid w:val="0065124C"/>
    <w:rsid w:val="006553BD"/>
    <w:rsid w:val="00666EA0"/>
    <w:rsid w:val="0067236A"/>
    <w:rsid w:val="0067316B"/>
    <w:rsid w:val="00675C32"/>
    <w:rsid w:val="00675E7B"/>
    <w:rsid w:val="0067763C"/>
    <w:rsid w:val="0068021C"/>
    <w:rsid w:val="00681EB4"/>
    <w:rsid w:val="0068222C"/>
    <w:rsid w:val="0068690E"/>
    <w:rsid w:val="006967A3"/>
    <w:rsid w:val="006968EB"/>
    <w:rsid w:val="006A1CDC"/>
    <w:rsid w:val="006A61D0"/>
    <w:rsid w:val="006B4413"/>
    <w:rsid w:val="006B456F"/>
    <w:rsid w:val="006B7EBA"/>
    <w:rsid w:val="006C40DD"/>
    <w:rsid w:val="006C59E2"/>
    <w:rsid w:val="006C6A60"/>
    <w:rsid w:val="006D34D9"/>
    <w:rsid w:val="006E0EA5"/>
    <w:rsid w:val="006E0F43"/>
    <w:rsid w:val="006E3975"/>
    <w:rsid w:val="006E3F82"/>
    <w:rsid w:val="006F2D0B"/>
    <w:rsid w:val="00706981"/>
    <w:rsid w:val="00706DDC"/>
    <w:rsid w:val="00707F32"/>
    <w:rsid w:val="00711390"/>
    <w:rsid w:val="00713F05"/>
    <w:rsid w:val="00713F2E"/>
    <w:rsid w:val="00717FDF"/>
    <w:rsid w:val="00726EB8"/>
    <w:rsid w:val="007315E5"/>
    <w:rsid w:val="00732C4F"/>
    <w:rsid w:val="00736D53"/>
    <w:rsid w:val="00737E2C"/>
    <w:rsid w:val="00740D9A"/>
    <w:rsid w:val="007463F7"/>
    <w:rsid w:val="00753B7F"/>
    <w:rsid w:val="00760840"/>
    <w:rsid w:val="0076158D"/>
    <w:rsid w:val="00764F66"/>
    <w:rsid w:val="007665D6"/>
    <w:rsid w:val="007708B7"/>
    <w:rsid w:val="0077203D"/>
    <w:rsid w:val="0077209F"/>
    <w:rsid w:val="00772E95"/>
    <w:rsid w:val="007746E9"/>
    <w:rsid w:val="007755B7"/>
    <w:rsid w:val="007769AE"/>
    <w:rsid w:val="00777604"/>
    <w:rsid w:val="00781335"/>
    <w:rsid w:val="007850D6"/>
    <w:rsid w:val="00785120"/>
    <w:rsid w:val="007935E0"/>
    <w:rsid w:val="00794767"/>
    <w:rsid w:val="007949D2"/>
    <w:rsid w:val="00796E83"/>
    <w:rsid w:val="00797AFC"/>
    <w:rsid w:val="007A112F"/>
    <w:rsid w:val="007B6292"/>
    <w:rsid w:val="007B7902"/>
    <w:rsid w:val="007C5172"/>
    <w:rsid w:val="007C5CC3"/>
    <w:rsid w:val="007D2267"/>
    <w:rsid w:val="007D3A96"/>
    <w:rsid w:val="007D485E"/>
    <w:rsid w:val="007D6963"/>
    <w:rsid w:val="007E19A4"/>
    <w:rsid w:val="007E3AF0"/>
    <w:rsid w:val="007E7FBC"/>
    <w:rsid w:val="007F092C"/>
    <w:rsid w:val="007F0D3A"/>
    <w:rsid w:val="007F0ED7"/>
    <w:rsid w:val="007F3F63"/>
    <w:rsid w:val="00800B50"/>
    <w:rsid w:val="0081750B"/>
    <w:rsid w:val="00817BA2"/>
    <w:rsid w:val="008208D1"/>
    <w:rsid w:val="00820DE8"/>
    <w:rsid w:val="00832F7E"/>
    <w:rsid w:val="00852A5E"/>
    <w:rsid w:val="00865910"/>
    <w:rsid w:val="00872932"/>
    <w:rsid w:val="00873B92"/>
    <w:rsid w:val="00877D2B"/>
    <w:rsid w:val="0088192A"/>
    <w:rsid w:val="00881F31"/>
    <w:rsid w:val="00887FF3"/>
    <w:rsid w:val="00894445"/>
    <w:rsid w:val="00897107"/>
    <w:rsid w:val="008A774B"/>
    <w:rsid w:val="008B4F9B"/>
    <w:rsid w:val="008B5915"/>
    <w:rsid w:val="008C07EC"/>
    <w:rsid w:val="008C2C63"/>
    <w:rsid w:val="008C6132"/>
    <w:rsid w:val="008D24D8"/>
    <w:rsid w:val="008D3EF6"/>
    <w:rsid w:val="008D7809"/>
    <w:rsid w:val="008E3B8F"/>
    <w:rsid w:val="008E550D"/>
    <w:rsid w:val="008F0E46"/>
    <w:rsid w:val="008F1EB2"/>
    <w:rsid w:val="008F46B7"/>
    <w:rsid w:val="008F59ED"/>
    <w:rsid w:val="008F6A67"/>
    <w:rsid w:val="009101B5"/>
    <w:rsid w:val="00913C45"/>
    <w:rsid w:val="00914FB0"/>
    <w:rsid w:val="009223E4"/>
    <w:rsid w:val="00922EC5"/>
    <w:rsid w:val="00924F95"/>
    <w:rsid w:val="009256B3"/>
    <w:rsid w:val="00926F56"/>
    <w:rsid w:val="00936D92"/>
    <w:rsid w:val="009372ED"/>
    <w:rsid w:val="00941F73"/>
    <w:rsid w:val="0094281A"/>
    <w:rsid w:val="009433B0"/>
    <w:rsid w:val="00950574"/>
    <w:rsid w:val="00953CF0"/>
    <w:rsid w:val="00956A9B"/>
    <w:rsid w:val="009603C4"/>
    <w:rsid w:val="00970AFE"/>
    <w:rsid w:val="00976BA0"/>
    <w:rsid w:val="009929F3"/>
    <w:rsid w:val="00992BDF"/>
    <w:rsid w:val="00995D2B"/>
    <w:rsid w:val="009A033C"/>
    <w:rsid w:val="009A4263"/>
    <w:rsid w:val="009A4413"/>
    <w:rsid w:val="009A6392"/>
    <w:rsid w:val="009B1DA0"/>
    <w:rsid w:val="009B1EDA"/>
    <w:rsid w:val="009B24B4"/>
    <w:rsid w:val="009B5B7F"/>
    <w:rsid w:val="009B60A4"/>
    <w:rsid w:val="009C12F9"/>
    <w:rsid w:val="009C59CA"/>
    <w:rsid w:val="009D008B"/>
    <w:rsid w:val="009D5A20"/>
    <w:rsid w:val="009D630D"/>
    <w:rsid w:val="009E18CD"/>
    <w:rsid w:val="009E4ADC"/>
    <w:rsid w:val="009E5C03"/>
    <w:rsid w:val="009F1AC4"/>
    <w:rsid w:val="009F3906"/>
    <w:rsid w:val="00A00C26"/>
    <w:rsid w:val="00A010BD"/>
    <w:rsid w:val="00A025AB"/>
    <w:rsid w:val="00A03942"/>
    <w:rsid w:val="00A053C3"/>
    <w:rsid w:val="00A0591B"/>
    <w:rsid w:val="00A11C92"/>
    <w:rsid w:val="00A17DAE"/>
    <w:rsid w:val="00A222E0"/>
    <w:rsid w:val="00A2357E"/>
    <w:rsid w:val="00A23908"/>
    <w:rsid w:val="00A248A6"/>
    <w:rsid w:val="00A27CA5"/>
    <w:rsid w:val="00A312D6"/>
    <w:rsid w:val="00A336C3"/>
    <w:rsid w:val="00A4333C"/>
    <w:rsid w:val="00A463FA"/>
    <w:rsid w:val="00A470D7"/>
    <w:rsid w:val="00A51A75"/>
    <w:rsid w:val="00A573AA"/>
    <w:rsid w:val="00A60E3F"/>
    <w:rsid w:val="00A625C1"/>
    <w:rsid w:val="00A63676"/>
    <w:rsid w:val="00A638FE"/>
    <w:rsid w:val="00A64A1E"/>
    <w:rsid w:val="00A71DF4"/>
    <w:rsid w:val="00A72C7E"/>
    <w:rsid w:val="00A75F11"/>
    <w:rsid w:val="00A80A44"/>
    <w:rsid w:val="00A81268"/>
    <w:rsid w:val="00A83A4B"/>
    <w:rsid w:val="00A84085"/>
    <w:rsid w:val="00A87C90"/>
    <w:rsid w:val="00A94983"/>
    <w:rsid w:val="00AA1947"/>
    <w:rsid w:val="00AA20BE"/>
    <w:rsid w:val="00AA4DE8"/>
    <w:rsid w:val="00AA6022"/>
    <w:rsid w:val="00AB01C3"/>
    <w:rsid w:val="00AB23E5"/>
    <w:rsid w:val="00AB28B2"/>
    <w:rsid w:val="00AB4B0B"/>
    <w:rsid w:val="00AB5006"/>
    <w:rsid w:val="00AC0032"/>
    <w:rsid w:val="00AC39A3"/>
    <w:rsid w:val="00AC588C"/>
    <w:rsid w:val="00AD3754"/>
    <w:rsid w:val="00AD6E98"/>
    <w:rsid w:val="00AE0D46"/>
    <w:rsid w:val="00AE11C4"/>
    <w:rsid w:val="00AE41F2"/>
    <w:rsid w:val="00AF042C"/>
    <w:rsid w:val="00AF06EC"/>
    <w:rsid w:val="00AF2B26"/>
    <w:rsid w:val="00AF4F41"/>
    <w:rsid w:val="00B01B58"/>
    <w:rsid w:val="00B022F5"/>
    <w:rsid w:val="00B10306"/>
    <w:rsid w:val="00B125F4"/>
    <w:rsid w:val="00B21488"/>
    <w:rsid w:val="00B22572"/>
    <w:rsid w:val="00B23F36"/>
    <w:rsid w:val="00B25863"/>
    <w:rsid w:val="00B3072A"/>
    <w:rsid w:val="00B332C6"/>
    <w:rsid w:val="00B3453A"/>
    <w:rsid w:val="00B356DB"/>
    <w:rsid w:val="00B35B8D"/>
    <w:rsid w:val="00B40C47"/>
    <w:rsid w:val="00B41687"/>
    <w:rsid w:val="00B421FE"/>
    <w:rsid w:val="00B46B21"/>
    <w:rsid w:val="00B473FF"/>
    <w:rsid w:val="00B5111C"/>
    <w:rsid w:val="00B608A4"/>
    <w:rsid w:val="00B6223B"/>
    <w:rsid w:val="00B656FA"/>
    <w:rsid w:val="00B70E16"/>
    <w:rsid w:val="00B70FC2"/>
    <w:rsid w:val="00B72603"/>
    <w:rsid w:val="00B72948"/>
    <w:rsid w:val="00B73B74"/>
    <w:rsid w:val="00B84207"/>
    <w:rsid w:val="00B851BE"/>
    <w:rsid w:val="00B869D3"/>
    <w:rsid w:val="00B90B48"/>
    <w:rsid w:val="00B928DC"/>
    <w:rsid w:val="00B943B4"/>
    <w:rsid w:val="00B9517C"/>
    <w:rsid w:val="00B97DCF"/>
    <w:rsid w:val="00BA334E"/>
    <w:rsid w:val="00BA42D5"/>
    <w:rsid w:val="00BA5379"/>
    <w:rsid w:val="00BB1E32"/>
    <w:rsid w:val="00BB20BB"/>
    <w:rsid w:val="00BB244F"/>
    <w:rsid w:val="00BB3B55"/>
    <w:rsid w:val="00BB7916"/>
    <w:rsid w:val="00BC0E54"/>
    <w:rsid w:val="00BC1F14"/>
    <w:rsid w:val="00BC4D98"/>
    <w:rsid w:val="00BC4F52"/>
    <w:rsid w:val="00BC5043"/>
    <w:rsid w:val="00BC776B"/>
    <w:rsid w:val="00BD2DFC"/>
    <w:rsid w:val="00BD43F6"/>
    <w:rsid w:val="00BE2831"/>
    <w:rsid w:val="00BF501C"/>
    <w:rsid w:val="00C03FFB"/>
    <w:rsid w:val="00C11337"/>
    <w:rsid w:val="00C11FA1"/>
    <w:rsid w:val="00C169D5"/>
    <w:rsid w:val="00C24A85"/>
    <w:rsid w:val="00C2516C"/>
    <w:rsid w:val="00C33C18"/>
    <w:rsid w:val="00C3463E"/>
    <w:rsid w:val="00C3481E"/>
    <w:rsid w:val="00C35843"/>
    <w:rsid w:val="00C44CB3"/>
    <w:rsid w:val="00C5044B"/>
    <w:rsid w:val="00C51912"/>
    <w:rsid w:val="00C55595"/>
    <w:rsid w:val="00C5776B"/>
    <w:rsid w:val="00C6096B"/>
    <w:rsid w:val="00C611B3"/>
    <w:rsid w:val="00C636AC"/>
    <w:rsid w:val="00C65204"/>
    <w:rsid w:val="00C65D39"/>
    <w:rsid w:val="00C66AE3"/>
    <w:rsid w:val="00C72642"/>
    <w:rsid w:val="00C72ACE"/>
    <w:rsid w:val="00C803AD"/>
    <w:rsid w:val="00C84FCD"/>
    <w:rsid w:val="00C91F56"/>
    <w:rsid w:val="00C937C3"/>
    <w:rsid w:val="00C951C4"/>
    <w:rsid w:val="00CA1F3A"/>
    <w:rsid w:val="00CA40B4"/>
    <w:rsid w:val="00CA418B"/>
    <w:rsid w:val="00CA48F3"/>
    <w:rsid w:val="00CA66CA"/>
    <w:rsid w:val="00CA6B9C"/>
    <w:rsid w:val="00CA7BC3"/>
    <w:rsid w:val="00CB001F"/>
    <w:rsid w:val="00CB00F7"/>
    <w:rsid w:val="00CB1E54"/>
    <w:rsid w:val="00CB6BD4"/>
    <w:rsid w:val="00CB706C"/>
    <w:rsid w:val="00CB7525"/>
    <w:rsid w:val="00CB7D6D"/>
    <w:rsid w:val="00CC6B60"/>
    <w:rsid w:val="00CD0BC7"/>
    <w:rsid w:val="00CD566A"/>
    <w:rsid w:val="00CE43D8"/>
    <w:rsid w:val="00CE4BB1"/>
    <w:rsid w:val="00CE75C9"/>
    <w:rsid w:val="00CF31C2"/>
    <w:rsid w:val="00CF4D7E"/>
    <w:rsid w:val="00CF65FE"/>
    <w:rsid w:val="00D00D59"/>
    <w:rsid w:val="00D04976"/>
    <w:rsid w:val="00D07869"/>
    <w:rsid w:val="00D10275"/>
    <w:rsid w:val="00D11CC5"/>
    <w:rsid w:val="00D11F15"/>
    <w:rsid w:val="00D163B4"/>
    <w:rsid w:val="00D2072C"/>
    <w:rsid w:val="00D21254"/>
    <w:rsid w:val="00D246A0"/>
    <w:rsid w:val="00D2745E"/>
    <w:rsid w:val="00D305B1"/>
    <w:rsid w:val="00D32283"/>
    <w:rsid w:val="00D32F1E"/>
    <w:rsid w:val="00D40E9B"/>
    <w:rsid w:val="00D45DF4"/>
    <w:rsid w:val="00D5215F"/>
    <w:rsid w:val="00D53508"/>
    <w:rsid w:val="00D57DA6"/>
    <w:rsid w:val="00D63485"/>
    <w:rsid w:val="00D63B0D"/>
    <w:rsid w:val="00D643E9"/>
    <w:rsid w:val="00D64925"/>
    <w:rsid w:val="00D65C3B"/>
    <w:rsid w:val="00D66E3B"/>
    <w:rsid w:val="00D71557"/>
    <w:rsid w:val="00D72669"/>
    <w:rsid w:val="00D72CAB"/>
    <w:rsid w:val="00D72D9A"/>
    <w:rsid w:val="00D73149"/>
    <w:rsid w:val="00D748FD"/>
    <w:rsid w:val="00D80323"/>
    <w:rsid w:val="00D80F82"/>
    <w:rsid w:val="00D81CDA"/>
    <w:rsid w:val="00D83957"/>
    <w:rsid w:val="00D855E4"/>
    <w:rsid w:val="00D87A83"/>
    <w:rsid w:val="00D91C88"/>
    <w:rsid w:val="00DA137E"/>
    <w:rsid w:val="00DA4A7D"/>
    <w:rsid w:val="00DB029A"/>
    <w:rsid w:val="00DB0D36"/>
    <w:rsid w:val="00DB1CB8"/>
    <w:rsid w:val="00DB28FF"/>
    <w:rsid w:val="00DB65A8"/>
    <w:rsid w:val="00DB7B6F"/>
    <w:rsid w:val="00DC0978"/>
    <w:rsid w:val="00DC4282"/>
    <w:rsid w:val="00DC5B2D"/>
    <w:rsid w:val="00DD349F"/>
    <w:rsid w:val="00DD4B3F"/>
    <w:rsid w:val="00DE1AB7"/>
    <w:rsid w:val="00DE3EB8"/>
    <w:rsid w:val="00DF000F"/>
    <w:rsid w:val="00DF0960"/>
    <w:rsid w:val="00DF20D1"/>
    <w:rsid w:val="00DF369E"/>
    <w:rsid w:val="00DF36D5"/>
    <w:rsid w:val="00DF38E1"/>
    <w:rsid w:val="00DF6C54"/>
    <w:rsid w:val="00DF7347"/>
    <w:rsid w:val="00E01C19"/>
    <w:rsid w:val="00E02C3A"/>
    <w:rsid w:val="00E02EDA"/>
    <w:rsid w:val="00E04BE5"/>
    <w:rsid w:val="00E210E8"/>
    <w:rsid w:val="00E25B12"/>
    <w:rsid w:val="00E273D0"/>
    <w:rsid w:val="00E35F3D"/>
    <w:rsid w:val="00E4019D"/>
    <w:rsid w:val="00E416D8"/>
    <w:rsid w:val="00E54B0D"/>
    <w:rsid w:val="00E6058C"/>
    <w:rsid w:val="00E60A70"/>
    <w:rsid w:val="00E67927"/>
    <w:rsid w:val="00E7130E"/>
    <w:rsid w:val="00E74447"/>
    <w:rsid w:val="00E74E13"/>
    <w:rsid w:val="00E74E83"/>
    <w:rsid w:val="00E760BB"/>
    <w:rsid w:val="00E777C1"/>
    <w:rsid w:val="00E80FB1"/>
    <w:rsid w:val="00E826D8"/>
    <w:rsid w:val="00E829B2"/>
    <w:rsid w:val="00E82E69"/>
    <w:rsid w:val="00E84647"/>
    <w:rsid w:val="00E938ED"/>
    <w:rsid w:val="00E94FCC"/>
    <w:rsid w:val="00E96F94"/>
    <w:rsid w:val="00E97395"/>
    <w:rsid w:val="00E97663"/>
    <w:rsid w:val="00EA0F7D"/>
    <w:rsid w:val="00EA2390"/>
    <w:rsid w:val="00EA6220"/>
    <w:rsid w:val="00EB165B"/>
    <w:rsid w:val="00EB3801"/>
    <w:rsid w:val="00EB742E"/>
    <w:rsid w:val="00EB79AF"/>
    <w:rsid w:val="00EB7F53"/>
    <w:rsid w:val="00EC00C3"/>
    <w:rsid w:val="00EC0EBD"/>
    <w:rsid w:val="00EC1514"/>
    <w:rsid w:val="00EC29E0"/>
    <w:rsid w:val="00EC2D4D"/>
    <w:rsid w:val="00EC63C4"/>
    <w:rsid w:val="00ED031E"/>
    <w:rsid w:val="00ED2451"/>
    <w:rsid w:val="00ED3560"/>
    <w:rsid w:val="00ED423F"/>
    <w:rsid w:val="00ED5EA0"/>
    <w:rsid w:val="00EE3B57"/>
    <w:rsid w:val="00EF3E66"/>
    <w:rsid w:val="00F01055"/>
    <w:rsid w:val="00F02D2D"/>
    <w:rsid w:val="00F06C2D"/>
    <w:rsid w:val="00F1568E"/>
    <w:rsid w:val="00F2024B"/>
    <w:rsid w:val="00F244BC"/>
    <w:rsid w:val="00F25359"/>
    <w:rsid w:val="00F253A9"/>
    <w:rsid w:val="00F27285"/>
    <w:rsid w:val="00F31506"/>
    <w:rsid w:val="00F33670"/>
    <w:rsid w:val="00F42A06"/>
    <w:rsid w:val="00F464B1"/>
    <w:rsid w:val="00F553B8"/>
    <w:rsid w:val="00F574E7"/>
    <w:rsid w:val="00F6478B"/>
    <w:rsid w:val="00F775B1"/>
    <w:rsid w:val="00F842B0"/>
    <w:rsid w:val="00F85850"/>
    <w:rsid w:val="00F85E9B"/>
    <w:rsid w:val="00F916A8"/>
    <w:rsid w:val="00F92564"/>
    <w:rsid w:val="00F96213"/>
    <w:rsid w:val="00FA0D60"/>
    <w:rsid w:val="00FA1C8F"/>
    <w:rsid w:val="00FA328A"/>
    <w:rsid w:val="00FA5129"/>
    <w:rsid w:val="00FB39F6"/>
    <w:rsid w:val="00FB79B0"/>
    <w:rsid w:val="00FC5BA3"/>
    <w:rsid w:val="00FC7C1C"/>
    <w:rsid w:val="00FD0C74"/>
    <w:rsid w:val="00FD1A70"/>
    <w:rsid w:val="00FE0D77"/>
    <w:rsid w:val="00FE33B1"/>
    <w:rsid w:val="00FE49BA"/>
    <w:rsid w:val="00FF017E"/>
    <w:rsid w:val="00FF2D2B"/>
    <w:rsid w:val="00FF3199"/>
    <w:rsid w:val="00FF3CC4"/>
    <w:rsid w:val="01D64C48"/>
    <w:rsid w:val="0B7D7BE2"/>
    <w:rsid w:val="14D80741"/>
    <w:rsid w:val="14D928CB"/>
    <w:rsid w:val="1C142ED0"/>
    <w:rsid w:val="27CC2E58"/>
    <w:rsid w:val="2B2924BF"/>
    <w:rsid w:val="2DE71E10"/>
    <w:rsid w:val="310D68E1"/>
    <w:rsid w:val="383C1930"/>
    <w:rsid w:val="3C405FB9"/>
    <w:rsid w:val="40CE39CB"/>
    <w:rsid w:val="5268389C"/>
    <w:rsid w:val="555D2250"/>
    <w:rsid w:val="6181444D"/>
    <w:rsid w:val="6E251B9E"/>
    <w:rsid w:val="753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9"/>
    <w:pPr>
      <w:keepNext/>
      <w:numPr>
        <w:ilvl w:val="0"/>
        <w:numId w:val="1"/>
      </w:numPr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qFormat/>
    <w:uiPriority w:val="99"/>
    <w:pPr>
      <w:keepNext/>
      <w:spacing w:line="360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autoRedefine/>
    <w:qFormat/>
    <w:uiPriority w:val="99"/>
    <w:pPr>
      <w:keepNext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2"/>
    <w:autoRedefine/>
    <w:qFormat/>
    <w:uiPriority w:val="99"/>
    <w:pPr>
      <w:keepNext/>
      <w:jc w:val="center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6"/>
    <w:autoRedefine/>
    <w:semiHidden/>
    <w:qFormat/>
    <w:uiPriority w:val="99"/>
    <w:rPr>
      <w:kern w:val="0"/>
      <w:sz w:val="24"/>
    </w:rPr>
  </w:style>
  <w:style w:type="paragraph" w:styleId="7">
    <w:name w:val="Body Text"/>
    <w:basedOn w:val="1"/>
    <w:link w:val="24"/>
    <w:autoRedefine/>
    <w:qFormat/>
    <w:uiPriority w:val="99"/>
    <w:pPr>
      <w:jc w:val="center"/>
    </w:pPr>
    <w:rPr>
      <w:kern w:val="0"/>
      <w:sz w:val="24"/>
    </w:rPr>
  </w:style>
  <w:style w:type="paragraph" w:styleId="8">
    <w:name w:val="Body Text Indent"/>
    <w:basedOn w:val="1"/>
    <w:link w:val="25"/>
    <w:autoRedefine/>
    <w:qFormat/>
    <w:uiPriority w:val="99"/>
    <w:pPr>
      <w:spacing w:line="360" w:lineRule="auto"/>
      <w:ind w:firstLine="480" w:firstLineChars="200"/>
    </w:pPr>
    <w:rPr>
      <w:kern w:val="0"/>
      <w:sz w:val="24"/>
    </w:rPr>
  </w:style>
  <w:style w:type="paragraph" w:styleId="9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Body Text Indent 3"/>
    <w:basedOn w:val="1"/>
    <w:link w:val="32"/>
    <w:autoRedefine/>
    <w:semiHidden/>
    <w:qFormat/>
    <w:uiPriority w:val="99"/>
    <w:pPr>
      <w:spacing w:after="120"/>
      <w:ind w:left="420" w:leftChars="200"/>
    </w:pPr>
    <w:rPr>
      <w:sz w:val="16"/>
      <w:szCs w:val="20"/>
    </w:rPr>
  </w:style>
  <w:style w:type="paragraph" w:styleId="13">
    <w:name w:val="Title"/>
    <w:basedOn w:val="1"/>
    <w:link w:val="34"/>
    <w:autoRedefine/>
    <w:qFormat/>
    <w:uiPriority w:val="99"/>
    <w:pPr>
      <w:jc w:val="center"/>
    </w:pPr>
    <w:rPr>
      <w:b/>
      <w:sz w:val="32"/>
      <w:szCs w:val="20"/>
    </w:rPr>
  </w:style>
  <w:style w:type="paragraph" w:styleId="14">
    <w:name w:val="annotation subject"/>
    <w:basedOn w:val="6"/>
    <w:next w:val="6"/>
    <w:link w:val="27"/>
    <w:autoRedefine/>
    <w:semiHidden/>
    <w:qFormat/>
    <w:uiPriority w:val="99"/>
    <w:rPr>
      <w:b/>
      <w:bCs/>
    </w:rPr>
  </w:style>
  <w:style w:type="table" w:styleId="16">
    <w:name w:val="Table Grid"/>
    <w:basedOn w:val="15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semiHidden/>
    <w:qFormat/>
    <w:uiPriority w:val="99"/>
    <w:rPr>
      <w:rFonts w:cs="Times New Roman"/>
      <w:sz w:val="16"/>
    </w:rPr>
  </w:style>
  <w:style w:type="character" w:customStyle="1" w:styleId="19">
    <w:name w:val="标题 1字符"/>
    <w:basedOn w:val="17"/>
    <w:link w:val="2"/>
    <w:autoRedefine/>
    <w:qFormat/>
    <w:locked/>
    <w:uiPriority w:val="99"/>
    <w:rPr>
      <w:b/>
      <w:kern w:val="44"/>
      <w:sz w:val="44"/>
    </w:rPr>
  </w:style>
  <w:style w:type="character" w:customStyle="1" w:styleId="20">
    <w:name w:val="标题 2字符"/>
    <w:basedOn w:val="17"/>
    <w:link w:val="3"/>
    <w:autoRedefine/>
    <w:semiHidden/>
    <w:qFormat/>
    <w:locked/>
    <w:uiPriority w:val="99"/>
    <w:rPr>
      <w:rFonts w:ascii="Cambria" w:hAnsi="Cambria" w:eastAsia="宋体"/>
      <w:b/>
      <w:sz w:val="32"/>
    </w:rPr>
  </w:style>
  <w:style w:type="character" w:customStyle="1" w:styleId="21">
    <w:name w:val="标题 3字符"/>
    <w:basedOn w:val="17"/>
    <w:link w:val="4"/>
    <w:autoRedefine/>
    <w:semiHidden/>
    <w:qFormat/>
    <w:locked/>
    <w:uiPriority w:val="99"/>
    <w:rPr>
      <w:b/>
      <w:sz w:val="32"/>
    </w:rPr>
  </w:style>
  <w:style w:type="character" w:customStyle="1" w:styleId="22">
    <w:name w:val="标题 4字符"/>
    <w:basedOn w:val="17"/>
    <w:link w:val="5"/>
    <w:autoRedefine/>
    <w:semiHidden/>
    <w:qFormat/>
    <w:locked/>
    <w:uiPriority w:val="99"/>
    <w:rPr>
      <w:rFonts w:ascii="Cambria" w:hAnsi="Cambria" w:eastAsia="宋体"/>
      <w:b/>
      <w:sz w:val="28"/>
    </w:rPr>
  </w:style>
  <w:style w:type="paragraph" w:customStyle="1" w:styleId="23">
    <w:name w:val="批注框文本1"/>
    <w:basedOn w:val="1"/>
    <w:autoRedefine/>
    <w:semiHidden/>
    <w:qFormat/>
    <w:uiPriority w:val="99"/>
    <w:rPr>
      <w:sz w:val="18"/>
      <w:szCs w:val="18"/>
    </w:rPr>
  </w:style>
  <w:style w:type="character" w:customStyle="1" w:styleId="24">
    <w:name w:val="正文文本字符"/>
    <w:basedOn w:val="17"/>
    <w:link w:val="7"/>
    <w:autoRedefine/>
    <w:semiHidden/>
    <w:qFormat/>
    <w:locked/>
    <w:uiPriority w:val="99"/>
    <w:rPr>
      <w:sz w:val="24"/>
    </w:rPr>
  </w:style>
  <w:style w:type="character" w:customStyle="1" w:styleId="25">
    <w:name w:val="正文文本缩进字符"/>
    <w:basedOn w:val="17"/>
    <w:link w:val="8"/>
    <w:autoRedefine/>
    <w:semiHidden/>
    <w:qFormat/>
    <w:locked/>
    <w:uiPriority w:val="99"/>
    <w:rPr>
      <w:sz w:val="24"/>
    </w:rPr>
  </w:style>
  <w:style w:type="character" w:customStyle="1" w:styleId="26">
    <w:name w:val="注释文本字符"/>
    <w:basedOn w:val="17"/>
    <w:link w:val="6"/>
    <w:autoRedefine/>
    <w:semiHidden/>
    <w:qFormat/>
    <w:locked/>
    <w:uiPriority w:val="99"/>
    <w:rPr>
      <w:sz w:val="24"/>
    </w:rPr>
  </w:style>
  <w:style w:type="character" w:customStyle="1" w:styleId="27">
    <w:name w:val="批注主题字符"/>
    <w:basedOn w:val="26"/>
    <w:link w:val="14"/>
    <w:autoRedefine/>
    <w:semiHidden/>
    <w:qFormat/>
    <w:locked/>
    <w:uiPriority w:val="99"/>
    <w:rPr>
      <w:b/>
      <w:sz w:val="24"/>
    </w:rPr>
  </w:style>
  <w:style w:type="character" w:customStyle="1" w:styleId="28">
    <w:name w:val="批注框文本字符"/>
    <w:basedOn w:val="17"/>
    <w:link w:val="9"/>
    <w:autoRedefine/>
    <w:semiHidden/>
    <w:qFormat/>
    <w:uiPriority w:val="99"/>
    <w:rPr>
      <w:sz w:val="18"/>
      <w:szCs w:val="18"/>
    </w:rPr>
  </w:style>
  <w:style w:type="character" w:customStyle="1" w:styleId="29">
    <w:name w:val="页眉字符"/>
    <w:basedOn w:val="17"/>
    <w:link w:val="11"/>
    <w:autoRedefine/>
    <w:qFormat/>
    <w:locked/>
    <w:uiPriority w:val="99"/>
    <w:rPr>
      <w:kern w:val="2"/>
      <w:sz w:val="18"/>
    </w:rPr>
  </w:style>
  <w:style w:type="character" w:customStyle="1" w:styleId="30">
    <w:name w:val="页脚字符"/>
    <w:basedOn w:val="17"/>
    <w:link w:val="10"/>
    <w:autoRedefine/>
    <w:qFormat/>
    <w:locked/>
    <w:uiPriority w:val="99"/>
    <w:rPr>
      <w:kern w:val="2"/>
      <w:sz w:val="18"/>
    </w:rPr>
  </w:style>
  <w:style w:type="character" w:customStyle="1" w:styleId="31">
    <w:name w:val="apple-style-span"/>
    <w:autoRedefine/>
    <w:qFormat/>
    <w:uiPriority w:val="99"/>
    <w:rPr>
      <w:rFonts w:ascii="Times New Roman" w:hAnsi="Times New Roman"/>
    </w:rPr>
  </w:style>
  <w:style w:type="character" w:customStyle="1" w:styleId="32">
    <w:name w:val="正文文本缩进 3字符"/>
    <w:basedOn w:val="17"/>
    <w:link w:val="12"/>
    <w:autoRedefine/>
    <w:semiHidden/>
    <w:qFormat/>
    <w:locked/>
    <w:uiPriority w:val="99"/>
    <w:rPr>
      <w:kern w:val="2"/>
      <w:sz w:val="16"/>
    </w:rPr>
  </w:style>
  <w:style w:type="paragraph" w:customStyle="1" w:styleId="33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34">
    <w:name w:val="标题字符"/>
    <w:basedOn w:val="17"/>
    <w:link w:val="13"/>
    <w:autoRedefine/>
    <w:qFormat/>
    <w:locked/>
    <w:uiPriority w:val="99"/>
    <w:rPr>
      <w:b/>
      <w:kern w:val="2"/>
      <w:sz w:val="32"/>
    </w:rPr>
  </w:style>
  <w:style w:type="paragraph" w:customStyle="1" w:styleId="3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7A291-43F7-4160-BB10-121680199B34}">
  <ds:schemaRefs/>
</ds:datastoreItem>
</file>

<file path=customXml/itemProps3.xml><?xml version="1.0" encoding="utf-8"?>
<ds:datastoreItem xmlns:ds="http://schemas.openxmlformats.org/officeDocument/2006/customXml" ds:itemID="{A219395A-B837-44CD-9BF9-39CE9F068A2D}">
  <ds:schemaRefs/>
</ds:datastoreItem>
</file>

<file path=customXml/itemProps4.xml><?xml version="1.0" encoding="utf-8"?>
<ds:datastoreItem xmlns:ds="http://schemas.openxmlformats.org/officeDocument/2006/customXml" ds:itemID="{E419BECA-933D-D942-9517-1200470CD570}">
  <ds:schemaRefs/>
</ds:datastoreItem>
</file>

<file path=customXml/itemProps5.xml><?xml version="1.0" encoding="utf-8"?>
<ds:datastoreItem xmlns:ds="http://schemas.openxmlformats.org/officeDocument/2006/customXml" ds:itemID="{5D005D5B-0529-43E7-A39D-C1EC72652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</Company>
  <Pages>4</Pages>
  <Words>2230</Words>
  <Characters>2547</Characters>
  <Lines>18</Lines>
  <Paragraphs>5</Paragraphs>
  <TotalTime>2</TotalTime>
  <ScaleCrop>false</ScaleCrop>
  <LinksUpToDate>false</LinksUpToDate>
  <CharactersWithSpaces>2560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2020-05-08T07:32:00Z</dcterms:created>
  <dc:creator>姚远</dc:creator>
  <cp:lastModifiedBy>邹宇田</cp:lastModifiedBy>
  <cp:lastPrinted>2024-03-01T08:00:00Z</cp:lastPrinted>
  <dcterms:modified xsi:type="dcterms:W3CDTF">2024-05-06T00:27:55Z</dcterms:modified>
  <dc:title>清洗行业2006年TCA淘汰项目现场核查工作大纲</dc:title>
  <cp:revision>599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KSOProductBuildVer">
    <vt:lpwstr>2052-12.1.0.16894</vt:lpwstr>
  </property>
  <property fmtid="{D5CDD505-2E9C-101B-9397-08002B2CF9AE}" pid="4" name="ICV">
    <vt:lpwstr>BE4B69BD92334C48861DE096C9836A6B_13</vt:lpwstr>
  </property>
</Properties>
</file>